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637" w:rsidRPr="00AD14E5" w:rsidRDefault="00D20637" w:rsidP="00D20637">
      <w:pPr>
        <w:pStyle w:val="Corpo"/>
        <w:spacing w:line="288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AD14E5">
        <w:rPr>
          <w:rFonts w:ascii="Garamond" w:hAnsi="Garamond" w:cs="Arial"/>
          <w:b/>
          <w:bCs/>
          <w:sz w:val="24"/>
          <w:szCs w:val="24"/>
        </w:rPr>
        <w:t xml:space="preserve">TRANSPARÊNCIA NOS MUNICIPIOS BRASILEIROS: </w:t>
      </w:r>
    </w:p>
    <w:p w:rsidR="00D20637" w:rsidRPr="00AD14E5" w:rsidRDefault="00D20637" w:rsidP="00D20637">
      <w:pPr>
        <w:pStyle w:val="Corpo"/>
        <w:spacing w:line="288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AD14E5">
        <w:rPr>
          <w:rFonts w:ascii="Garamond" w:hAnsi="Garamond" w:cs="Arial"/>
          <w:b/>
          <w:bCs/>
          <w:sz w:val="24"/>
          <w:szCs w:val="24"/>
        </w:rPr>
        <w:t xml:space="preserve">UMA ANÁLISE DO FATOR DESENVOLVIMENTO </w:t>
      </w:r>
    </w:p>
    <w:p w:rsidR="00D20637" w:rsidRPr="00AD14E5" w:rsidRDefault="00D20637" w:rsidP="00D20637">
      <w:pPr>
        <w:pStyle w:val="Corpo"/>
        <w:spacing w:line="288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:rsidR="00D20637" w:rsidRPr="00AD14E5" w:rsidRDefault="00D20637" w:rsidP="00D20637">
      <w:pPr>
        <w:pStyle w:val="Corpo"/>
        <w:spacing w:line="288" w:lineRule="auto"/>
        <w:jc w:val="center"/>
        <w:rPr>
          <w:rFonts w:ascii="Garamond" w:eastAsia="Times" w:hAnsi="Garamond" w:cs="Arial"/>
          <w:b/>
          <w:bCs/>
          <w:sz w:val="24"/>
          <w:szCs w:val="24"/>
        </w:rPr>
      </w:pPr>
      <w:r w:rsidRPr="00AD14E5">
        <w:rPr>
          <w:rFonts w:ascii="Garamond" w:eastAsia="Times" w:hAnsi="Garamond" w:cs="Arial"/>
          <w:b/>
          <w:bCs/>
          <w:sz w:val="24"/>
          <w:szCs w:val="24"/>
        </w:rPr>
        <w:t>TRANSPAREN</w:t>
      </w:r>
      <w:bookmarkStart w:id="0" w:name="_GoBack"/>
      <w:bookmarkEnd w:id="0"/>
      <w:r w:rsidRPr="00AD14E5">
        <w:rPr>
          <w:rFonts w:ascii="Garamond" w:eastAsia="Times" w:hAnsi="Garamond" w:cs="Arial"/>
          <w:b/>
          <w:bCs/>
          <w:sz w:val="24"/>
          <w:szCs w:val="24"/>
        </w:rPr>
        <w:t>CY IN BRAZILIAN MUNICIPALITIES:</w:t>
      </w:r>
    </w:p>
    <w:p w:rsidR="00D20637" w:rsidRPr="00AD14E5" w:rsidRDefault="00D20637" w:rsidP="00D20637">
      <w:pPr>
        <w:pStyle w:val="Corpo"/>
        <w:spacing w:line="288" w:lineRule="auto"/>
        <w:jc w:val="center"/>
        <w:rPr>
          <w:rFonts w:ascii="Garamond" w:eastAsia="Times" w:hAnsi="Garamond" w:cs="Arial"/>
          <w:sz w:val="24"/>
          <w:szCs w:val="24"/>
        </w:rPr>
      </w:pPr>
      <w:r w:rsidRPr="00AD14E5">
        <w:rPr>
          <w:rFonts w:ascii="Garamond" w:eastAsia="Times" w:hAnsi="Garamond" w:cs="Arial"/>
          <w:b/>
          <w:bCs/>
          <w:sz w:val="24"/>
          <w:szCs w:val="24"/>
        </w:rPr>
        <w:t>A FACTOR ANALYSIS OF DEVELOPMENT</w:t>
      </w:r>
    </w:p>
    <w:p w:rsidR="00D20637" w:rsidRPr="00AD14E5" w:rsidRDefault="00D20637" w:rsidP="00D20637">
      <w:pPr>
        <w:pStyle w:val="Corpo"/>
        <w:spacing w:line="288" w:lineRule="auto"/>
        <w:jc w:val="center"/>
        <w:rPr>
          <w:rFonts w:ascii="Garamond" w:eastAsia="Times" w:hAnsi="Garamond" w:cs="Arial"/>
          <w:sz w:val="24"/>
          <w:szCs w:val="24"/>
        </w:rPr>
      </w:pPr>
    </w:p>
    <w:p w:rsidR="00D20637" w:rsidRPr="00AD14E5" w:rsidRDefault="00D20637" w:rsidP="00D20637">
      <w:pPr>
        <w:pStyle w:val="Corpo"/>
        <w:spacing w:line="288" w:lineRule="auto"/>
        <w:jc w:val="both"/>
        <w:rPr>
          <w:rFonts w:ascii="Garamond" w:hAnsi="Garamond" w:cs="Arial"/>
          <w:b/>
          <w:bCs/>
          <w:position w:val="8"/>
          <w:sz w:val="24"/>
          <w:szCs w:val="24"/>
        </w:rPr>
      </w:pPr>
      <w:r w:rsidRPr="00AD14E5">
        <w:rPr>
          <w:rFonts w:ascii="Garamond" w:hAnsi="Garamond" w:cs="Arial"/>
          <w:b/>
          <w:bCs/>
          <w:position w:val="8"/>
          <w:sz w:val="24"/>
          <w:szCs w:val="24"/>
        </w:rPr>
        <w:t>Pedro Severino do Nascimento Silva</w:t>
      </w:r>
    </w:p>
    <w:p w:rsidR="00D20637" w:rsidRPr="00AD14E5" w:rsidRDefault="00D20637" w:rsidP="00D20637">
      <w:pPr>
        <w:pStyle w:val="Corpo"/>
        <w:spacing w:line="288" w:lineRule="auto"/>
        <w:jc w:val="both"/>
        <w:rPr>
          <w:rFonts w:ascii="Garamond" w:hAnsi="Garamond" w:cs="Arial"/>
          <w:position w:val="8"/>
          <w:sz w:val="24"/>
          <w:szCs w:val="24"/>
        </w:rPr>
      </w:pPr>
      <w:r w:rsidRPr="00AD14E5">
        <w:rPr>
          <w:rFonts w:ascii="Garamond" w:hAnsi="Garamond" w:cs="Arial"/>
          <w:position w:val="8"/>
          <w:sz w:val="24"/>
          <w:szCs w:val="24"/>
        </w:rPr>
        <w:t>Mestrando em Ciência Política, Universidade Federal de Campina Grande – UFCG.</w:t>
      </w:r>
    </w:p>
    <w:p w:rsidR="00D20637" w:rsidRPr="00AD14E5" w:rsidRDefault="00D20637" w:rsidP="00D20637">
      <w:pPr>
        <w:pStyle w:val="Corpo"/>
        <w:spacing w:line="288" w:lineRule="auto"/>
        <w:jc w:val="both"/>
        <w:rPr>
          <w:rFonts w:ascii="Garamond" w:hAnsi="Garamond" w:cs="Arial"/>
          <w:position w:val="8"/>
          <w:sz w:val="24"/>
          <w:szCs w:val="24"/>
        </w:rPr>
      </w:pPr>
    </w:p>
    <w:p w:rsidR="00D20637" w:rsidRPr="00AD14E5" w:rsidRDefault="00D20637" w:rsidP="00D20637">
      <w:pPr>
        <w:pStyle w:val="Corpo"/>
        <w:spacing w:line="288" w:lineRule="auto"/>
        <w:jc w:val="both"/>
        <w:rPr>
          <w:rFonts w:ascii="Garamond" w:hAnsi="Garamond" w:cs="Arial"/>
          <w:position w:val="8"/>
          <w:sz w:val="24"/>
          <w:szCs w:val="24"/>
        </w:rPr>
      </w:pPr>
      <w:r w:rsidRPr="00AD14E5">
        <w:rPr>
          <w:rFonts w:ascii="Garamond" w:hAnsi="Garamond" w:cs="Arial"/>
          <w:position w:val="8"/>
          <w:sz w:val="24"/>
          <w:szCs w:val="24"/>
        </w:rPr>
        <w:t xml:space="preserve">Rua Rodrigues Alves, 1440, Bela Vista, Campina Grande – PB. </w:t>
      </w:r>
    </w:p>
    <w:p w:rsidR="00D20637" w:rsidRPr="00AD14E5" w:rsidRDefault="00D20637" w:rsidP="00D20637">
      <w:pPr>
        <w:pStyle w:val="Corpo"/>
        <w:spacing w:line="288" w:lineRule="auto"/>
        <w:jc w:val="both"/>
        <w:rPr>
          <w:rFonts w:ascii="Garamond" w:hAnsi="Garamond" w:cs="Arial"/>
          <w:position w:val="8"/>
          <w:sz w:val="24"/>
          <w:szCs w:val="24"/>
        </w:rPr>
      </w:pPr>
      <w:r w:rsidRPr="00AD14E5">
        <w:rPr>
          <w:rFonts w:ascii="Garamond" w:hAnsi="Garamond" w:cs="Arial"/>
          <w:position w:val="8"/>
          <w:sz w:val="24"/>
          <w:szCs w:val="24"/>
        </w:rPr>
        <w:t>Cep: 58428-795.</w:t>
      </w:r>
    </w:p>
    <w:p w:rsidR="00D20637" w:rsidRPr="00AD14E5" w:rsidRDefault="00D20637" w:rsidP="00D20637">
      <w:pPr>
        <w:pStyle w:val="Corpo"/>
        <w:spacing w:line="288" w:lineRule="auto"/>
        <w:jc w:val="both"/>
        <w:rPr>
          <w:rFonts w:ascii="Garamond" w:hAnsi="Garamond" w:cs="Arial"/>
          <w:position w:val="8"/>
          <w:sz w:val="24"/>
          <w:szCs w:val="24"/>
        </w:rPr>
      </w:pPr>
      <w:hyperlink r:id="rId4" w:history="1">
        <w:r w:rsidRPr="00AD14E5">
          <w:rPr>
            <w:rStyle w:val="Hyperlink"/>
            <w:rFonts w:ascii="Garamond" w:hAnsi="Garamond" w:cs="Arial"/>
            <w:position w:val="8"/>
            <w:sz w:val="24"/>
            <w:szCs w:val="24"/>
          </w:rPr>
          <w:t>cienciapoliticaufcg@gmail.com</w:t>
        </w:r>
      </w:hyperlink>
    </w:p>
    <w:p w:rsidR="00D20637" w:rsidRPr="00AD14E5" w:rsidRDefault="00D20637" w:rsidP="00D20637">
      <w:pPr>
        <w:pStyle w:val="Corpo"/>
        <w:spacing w:line="288" w:lineRule="auto"/>
        <w:jc w:val="both"/>
        <w:rPr>
          <w:rFonts w:ascii="Garamond" w:hAnsi="Garamond" w:cs="Arial"/>
          <w:position w:val="8"/>
          <w:sz w:val="24"/>
          <w:szCs w:val="24"/>
        </w:rPr>
      </w:pPr>
      <w:r w:rsidRPr="00AD14E5">
        <w:rPr>
          <w:rFonts w:ascii="Garamond" w:hAnsi="Garamond" w:cs="Arial"/>
          <w:position w:val="8"/>
          <w:sz w:val="24"/>
          <w:szCs w:val="24"/>
        </w:rPr>
        <w:t>(83) 9 9913-5263</w:t>
      </w:r>
    </w:p>
    <w:p w:rsidR="00D20637" w:rsidRPr="00AD14E5" w:rsidRDefault="00D20637" w:rsidP="00D20637">
      <w:pPr>
        <w:pStyle w:val="Corpo"/>
        <w:spacing w:line="288" w:lineRule="auto"/>
        <w:jc w:val="both"/>
        <w:rPr>
          <w:rFonts w:ascii="Garamond" w:hAnsi="Garamond" w:cs="Arial"/>
          <w:position w:val="8"/>
          <w:sz w:val="24"/>
          <w:szCs w:val="24"/>
        </w:rPr>
      </w:pPr>
    </w:p>
    <w:p w:rsidR="00D20637" w:rsidRPr="00AD14E5" w:rsidRDefault="00D20637" w:rsidP="00D20637">
      <w:pPr>
        <w:pStyle w:val="Corpo"/>
        <w:spacing w:line="288" w:lineRule="auto"/>
        <w:jc w:val="both"/>
        <w:rPr>
          <w:rFonts w:ascii="Garamond" w:eastAsia="Times" w:hAnsi="Garamond" w:cs="Arial"/>
          <w:sz w:val="24"/>
          <w:szCs w:val="24"/>
        </w:rPr>
      </w:pPr>
    </w:p>
    <w:p w:rsidR="00D20637" w:rsidRPr="00AD14E5" w:rsidRDefault="00D20637" w:rsidP="00D20637">
      <w:pPr>
        <w:pStyle w:val="Corpo"/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AD14E5">
        <w:rPr>
          <w:rFonts w:ascii="Garamond" w:hAnsi="Garamond" w:cs="Arial"/>
          <w:b/>
          <w:bCs/>
          <w:sz w:val="24"/>
          <w:szCs w:val="24"/>
        </w:rPr>
        <w:t>RESUMO</w:t>
      </w:r>
      <w:r w:rsidRPr="00AD14E5">
        <w:rPr>
          <w:rFonts w:ascii="Garamond" w:hAnsi="Garamond" w:cs="Arial"/>
          <w:sz w:val="24"/>
          <w:szCs w:val="24"/>
        </w:rPr>
        <w:t xml:space="preserve"> </w:t>
      </w:r>
    </w:p>
    <w:p w:rsidR="00D20637" w:rsidRPr="00AD14E5" w:rsidRDefault="00D20637" w:rsidP="00D20637">
      <w:pPr>
        <w:pStyle w:val="Corpo"/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AD14E5">
        <w:rPr>
          <w:rFonts w:ascii="Garamond" w:hAnsi="Garamond" w:cs="Arial"/>
          <w:sz w:val="24"/>
          <w:szCs w:val="24"/>
        </w:rPr>
        <w:t>O presente artigo tem como objetivo analisar o índice de transparência municipal, observando se, o desenvolvimento do município causa algum impacto em seu grau de transparência. A análise é feita com base nos dados da segunda edição do Programa Escala Brasil Transparente – EBT, desenvolvido pela Controladoria Geral da União – CGU e pelos dados do Atlas do Desenvolvimento Humano no Brasil. Testa-se a hipótese de que, quanto mais desenvolvido o município, maior seu grau de transparência. Para a análise, foram utilizados dois modelos: o binomial negativo e o de transformação GAMA. Nas duas analises, verificou-se que, os indicadores de desenvolvimento social, renda per capita média e IDHM, impactam de forma significante, no grau de transparência do Município. Em relação a variável Índice de GINI, o teste mostrou que, o aumento de uma unidade dessa variável, causa uma diminuição de 3,5% no índice de transparência Municipal. Já a variável taxa de analfabetismo, entre pessoas com dezoito anos ou mais, se comportou de forma estatisticamente insignificante no impacto do índice de transparência municipal.</w:t>
      </w:r>
    </w:p>
    <w:p w:rsidR="00D20637" w:rsidRPr="00AD14E5" w:rsidRDefault="00D20637" w:rsidP="00D20637">
      <w:pPr>
        <w:pStyle w:val="Corpo"/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:rsidR="00D20637" w:rsidRPr="00AD14E5" w:rsidRDefault="00D20637" w:rsidP="00D20637">
      <w:pPr>
        <w:pStyle w:val="Corpo"/>
        <w:spacing w:line="360" w:lineRule="auto"/>
        <w:jc w:val="both"/>
        <w:rPr>
          <w:rFonts w:ascii="Garamond" w:eastAsia="Times" w:hAnsi="Garamond" w:cs="Arial"/>
          <w:sz w:val="24"/>
          <w:szCs w:val="24"/>
        </w:rPr>
      </w:pPr>
      <w:r w:rsidRPr="00AD14E5">
        <w:rPr>
          <w:rFonts w:ascii="Garamond" w:hAnsi="Garamond" w:cs="Arial"/>
          <w:b/>
          <w:bCs/>
          <w:sz w:val="24"/>
          <w:szCs w:val="24"/>
        </w:rPr>
        <w:t xml:space="preserve">Palavras-chave: </w:t>
      </w:r>
      <w:r w:rsidRPr="00AD14E5">
        <w:rPr>
          <w:rFonts w:ascii="Garamond" w:hAnsi="Garamond" w:cs="Arial"/>
          <w:bCs/>
          <w:sz w:val="24"/>
          <w:szCs w:val="24"/>
        </w:rPr>
        <w:t xml:space="preserve">Democracia Contemporânea; </w:t>
      </w:r>
      <w:proofErr w:type="spellStart"/>
      <w:r w:rsidRPr="00AD14E5">
        <w:rPr>
          <w:rFonts w:ascii="Garamond" w:hAnsi="Garamond" w:cs="Arial"/>
          <w:bCs/>
          <w:i/>
          <w:sz w:val="24"/>
          <w:szCs w:val="24"/>
        </w:rPr>
        <w:t>Accountability</w:t>
      </w:r>
      <w:proofErr w:type="spellEnd"/>
      <w:r w:rsidRPr="00AD14E5">
        <w:rPr>
          <w:rFonts w:ascii="Garamond" w:hAnsi="Garamond" w:cs="Arial"/>
          <w:bCs/>
          <w:sz w:val="24"/>
          <w:szCs w:val="24"/>
        </w:rPr>
        <w:t xml:space="preserve">; </w:t>
      </w:r>
      <w:proofErr w:type="spellStart"/>
      <w:r w:rsidRPr="00AD14E5">
        <w:rPr>
          <w:rFonts w:ascii="Garamond" w:hAnsi="Garamond" w:cs="Arial"/>
          <w:bCs/>
          <w:sz w:val="24"/>
          <w:szCs w:val="24"/>
        </w:rPr>
        <w:t>Poliarquia</w:t>
      </w:r>
      <w:proofErr w:type="spellEnd"/>
      <w:r w:rsidRPr="00AD14E5">
        <w:rPr>
          <w:rFonts w:ascii="Garamond" w:hAnsi="Garamond" w:cs="Arial"/>
          <w:bCs/>
          <w:sz w:val="24"/>
          <w:szCs w:val="24"/>
        </w:rPr>
        <w:t>; Transparência.</w:t>
      </w:r>
    </w:p>
    <w:p w:rsidR="00D20637" w:rsidRPr="00AD14E5" w:rsidRDefault="00D20637" w:rsidP="00D20637">
      <w:pPr>
        <w:pStyle w:val="Corpo"/>
        <w:spacing w:line="288" w:lineRule="auto"/>
        <w:ind w:left="567"/>
        <w:jc w:val="both"/>
        <w:rPr>
          <w:rFonts w:ascii="Garamond" w:eastAsia="Times" w:hAnsi="Garamond" w:cs="Arial"/>
        </w:rPr>
      </w:pPr>
    </w:p>
    <w:p w:rsidR="00D20637" w:rsidRPr="00AD14E5" w:rsidRDefault="00D20637" w:rsidP="00D20637">
      <w:pPr>
        <w:pStyle w:val="Corpo"/>
        <w:spacing w:line="288" w:lineRule="auto"/>
        <w:jc w:val="both"/>
        <w:rPr>
          <w:rFonts w:ascii="Garamond" w:eastAsia="Times" w:hAnsi="Garamond" w:cs="Arial"/>
          <w:sz w:val="24"/>
          <w:szCs w:val="24"/>
        </w:rPr>
      </w:pPr>
    </w:p>
    <w:p w:rsidR="00D20637" w:rsidRPr="00AD14E5" w:rsidRDefault="00D20637" w:rsidP="00D20637">
      <w:pPr>
        <w:pStyle w:val="Corpo"/>
        <w:spacing w:line="288" w:lineRule="auto"/>
        <w:jc w:val="both"/>
        <w:rPr>
          <w:rFonts w:ascii="Garamond" w:eastAsia="Times" w:hAnsi="Garamond" w:cs="Arial"/>
          <w:sz w:val="24"/>
          <w:szCs w:val="24"/>
        </w:rPr>
      </w:pPr>
    </w:p>
    <w:p w:rsidR="00D20637" w:rsidRPr="00AD14E5" w:rsidRDefault="00D20637" w:rsidP="00D20637">
      <w:pPr>
        <w:pStyle w:val="Corpo"/>
        <w:spacing w:line="288" w:lineRule="auto"/>
        <w:jc w:val="both"/>
        <w:rPr>
          <w:rFonts w:ascii="Garamond" w:eastAsia="Times" w:hAnsi="Garamond" w:cs="Arial"/>
          <w:sz w:val="24"/>
          <w:szCs w:val="24"/>
        </w:rPr>
      </w:pPr>
    </w:p>
    <w:p w:rsidR="00D20637" w:rsidRPr="00AD14E5" w:rsidRDefault="00D20637" w:rsidP="00D20637">
      <w:pPr>
        <w:pStyle w:val="Corpo"/>
        <w:spacing w:line="288" w:lineRule="auto"/>
        <w:jc w:val="both"/>
        <w:rPr>
          <w:rFonts w:ascii="Garamond" w:eastAsia="Times" w:hAnsi="Garamond" w:cs="Arial"/>
          <w:sz w:val="24"/>
          <w:szCs w:val="24"/>
        </w:rPr>
      </w:pPr>
    </w:p>
    <w:p w:rsidR="00D20637" w:rsidRPr="00AD14E5" w:rsidRDefault="00D20637" w:rsidP="00D20637">
      <w:pPr>
        <w:pStyle w:val="Corpo"/>
        <w:spacing w:line="288" w:lineRule="auto"/>
        <w:jc w:val="both"/>
        <w:rPr>
          <w:rFonts w:ascii="Garamond" w:eastAsia="Times" w:hAnsi="Garamond" w:cs="Arial"/>
          <w:sz w:val="24"/>
          <w:szCs w:val="24"/>
        </w:rPr>
      </w:pPr>
    </w:p>
    <w:p w:rsidR="00D20637" w:rsidRPr="00AD14E5" w:rsidRDefault="00D20637" w:rsidP="00D20637">
      <w:pPr>
        <w:pStyle w:val="Corpo"/>
        <w:spacing w:line="288" w:lineRule="auto"/>
        <w:jc w:val="both"/>
        <w:rPr>
          <w:rFonts w:ascii="Garamond" w:eastAsia="Times" w:hAnsi="Garamond" w:cs="Arial"/>
          <w:sz w:val="24"/>
          <w:szCs w:val="24"/>
        </w:rPr>
      </w:pPr>
    </w:p>
    <w:p w:rsidR="00D20637" w:rsidRPr="00AD14E5" w:rsidRDefault="00D20637" w:rsidP="00D20637">
      <w:pPr>
        <w:pStyle w:val="Corpo"/>
        <w:spacing w:line="288" w:lineRule="auto"/>
        <w:jc w:val="both"/>
        <w:rPr>
          <w:rFonts w:ascii="Garamond" w:eastAsia="Times" w:hAnsi="Garamond" w:cs="Arial"/>
          <w:sz w:val="24"/>
          <w:szCs w:val="24"/>
        </w:rPr>
      </w:pPr>
    </w:p>
    <w:p w:rsidR="00D20637" w:rsidRPr="00AD14E5" w:rsidRDefault="00D20637" w:rsidP="00D20637">
      <w:pPr>
        <w:pStyle w:val="Corpo"/>
        <w:jc w:val="both"/>
        <w:rPr>
          <w:rFonts w:ascii="Garamond" w:eastAsia="Times" w:hAnsi="Garamond" w:cs="Arial"/>
          <w:b/>
          <w:bCs/>
          <w:sz w:val="24"/>
          <w:szCs w:val="24"/>
        </w:rPr>
      </w:pPr>
      <w:r w:rsidRPr="00AD14E5">
        <w:rPr>
          <w:rFonts w:ascii="Garamond" w:eastAsia="Times" w:hAnsi="Garamond" w:cs="Arial"/>
          <w:b/>
          <w:bCs/>
          <w:sz w:val="24"/>
          <w:szCs w:val="24"/>
        </w:rPr>
        <w:lastRenderedPageBreak/>
        <w:t>ABSTRACT</w:t>
      </w:r>
    </w:p>
    <w:p w:rsidR="00D20637" w:rsidRPr="00AD14E5" w:rsidRDefault="00D20637" w:rsidP="00D20637">
      <w:pPr>
        <w:pStyle w:val="Corpo"/>
        <w:jc w:val="both"/>
        <w:rPr>
          <w:rFonts w:ascii="Garamond" w:eastAsia="Times" w:hAnsi="Garamond" w:cs="Arial"/>
          <w:sz w:val="24"/>
          <w:szCs w:val="24"/>
        </w:rPr>
      </w:pPr>
    </w:p>
    <w:p w:rsidR="00D20637" w:rsidRPr="00AD14E5" w:rsidRDefault="00D20637" w:rsidP="00D20637">
      <w:pPr>
        <w:pStyle w:val="Corpo"/>
        <w:spacing w:line="360" w:lineRule="auto"/>
        <w:jc w:val="both"/>
        <w:rPr>
          <w:rFonts w:ascii="Garamond" w:eastAsia="Times" w:hAnsi="Garamond" w:cs="Arial"/>
          <w:sz w:val="24"/>
          <w:szCs w:val="24"/>
        </w:rPr>
      </w:pPr>
      <w:proofErr w:type="spellStart"/>
      <w:r w:rsidRPr="00AD14E5">
        <w:rPr>
          <w:rFonts w:ascii="Garamond" w:eastAsia="Times" w:hAnsi="Garamond" w:cs="Arial"/>
          <w:sz w:val="24"/>
          <w:szCs w:val="24"/>
        </w:rPr>
        <w:t>This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article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aims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to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analyze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the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municipal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transparency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index,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looking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at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whether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the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development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of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the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municipality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has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any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impact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on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its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degree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of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transparency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. The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analysis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is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based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on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data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from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the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second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edition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of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the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Brazil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Transparent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Scale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Program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- EBT,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developed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by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the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Comptroller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General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of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the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Union - CGU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and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data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from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the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Atlas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of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Human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Development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in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Brazil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. It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is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hypothesized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that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the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more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developed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the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municipality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,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the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greater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its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degree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of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transparency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. For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the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analysis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,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two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models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were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used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: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the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negative binomial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and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the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GAMA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transformation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. In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both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analyzes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, it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was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found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that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the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indicators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of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social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development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,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average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per capita income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and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HDI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significantly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impact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the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degree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of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transparency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of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the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Municipality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.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Regarding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the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GINI Index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variable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,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the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test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showed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that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an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increase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of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one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unit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of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this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variable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causes a 3.5%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decrease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in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the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Municipal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Transparency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Index. The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variable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illiteracy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rate,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among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people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aged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eighteen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or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older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,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behaved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statistically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insignificantly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in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the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impact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of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the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municipal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transparency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index.</w:t>
      </w:r>
    </w:p>
    <w:p w:rsidR="00D20637" w:rsidRPr="00AD14E5" w:rsidRDefault="00D20637" w:rsidP="00D20637">
      <w:pPr>
        <w:pStyle w:val="Corpo"/>
        <w:spacing w:line="360" w:lineRule="auto"/>
        <w:jc w:val="both"/>
        <w:rPr>
          <w:rFonts w:ascii="Garamond" w:eastAsia="Times" w:hAnsi="Garamond" w:cs="Arial"/>
          <w:sz w:val="24"/>
          <w:szCs w:val="24"/>
        </w:rPr>
      </w:pPr>
    </w:p>
    <w:p w:rsidR="00D20637" w:rsidRPr="00AD14E5" w:rsidRDefault="00D20637" w:rsidP="00D20637">
      <w:pPr>
        <w:pStyle w:val="Corpo"/>
        <w:spacing w:line="360" w:lineRule="auto"/>
        <w:jc w:val="both"/>
        <w:rPr>
          <w:rFonts w:ascii="Garamond" w:eastAsia="Times" w:hAnsi="Garamond" w:cs="Arial"/>
          <w:sz w:val="24"/>
          <w:szCs w:val="24"/>
        </w:rPr>
      </w:pPr>
      <w:r w:rsidRPr="00AD14E5">
        <w:rPr>
          <w:rFonts w:ascii="Garamond" w:eastAsia="Times" w:hAnsi="Garamond" w:cs="Arial"/>
          <w:b/>
          <w:bCs/>
          <w:sz w:val="24"/>
          <w:szCs w:val="24"/>
        </w:rPr>
        <w:t>Keywords</w:t>
      </w:r>
      <w:r w:rsidRPr="00AD14E5">
        <w:rPr>
          <w:rFonts w:ascii="Garamond" w:eastAsia="Times" w:hAnsi="Garamond" w:cs="Arial"/>
          <w:sz w:val="24"/>
          <w:szCs w:val="24"/>
        </w:rPr>
        <w:t xml:space="preserve">: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Contemporary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Democracy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;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Accountability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;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Polyarchy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 xml:space="preserve">; </w:t>
      </w:r>
      <w:proofErr w:type="spellStart"/>
      <w:r w:rsidRPr="00AD14E5">
        <w:rPr>
          <w:rFonts w:ascii="Garamond" w:eastAsia="Times" w:hAnsi="Garamond" w:cs="Arial"/>
          <w:sz w:val="24"/>
          <w:szCs w:val="24"/>
        </w:rPr>
        <w:t>Transparency</w:t>
      </w:r>
      <w:proofErr w:type="spellEnd"/>
      <w:r w:rsidRPr="00AD14E5">
        <w:rPr>
          <w:rFonts w:ascii="Garamond" w:eastAsia="Times" w:hAnsi="Garamond" w:cs="Arial"/>
          <w:sz w:val="24"/>
          <w:szCs w:val="24"/>
        </w:rPr>
        <w:t>.</w:t>
      </w:r>
    </w:p>
    <w:p w:rsidR="00D20637" w:rsidRDefault="00D20637"/>
    <w:sectPr w:rsidR="00D206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37"/>
    <w:rsid w:val="00D2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3C85D-E9FF-4915-BC1D-B71BAEF5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D20637"/>
    <w:rPr>
      <w:u w:val="single"/>
    </w:rPr>
  </w:style>
  <w:style w:type="paragraph" w:customStyle="1" w:styleId="Corpo">
    <w:name w:val="Corpo"/>
    <w:rsid w:val="00D206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enciapoliticaufcg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Nascimento Silva</dc:creator>
  <cp:keywords/>
  <dc:description/>
  <cp:lastModifiedBy>Pedro Nascimento Silva</cp:lastModifiedBy>
  <cp:revision>1</cp:revision>
  <dcterms:created xsi:type="dcterms:W3CDTF">2019-07-29T07:38:00Z</dcterms:created>
  <dcterms:modified xsi:type="dcterms:W3CDTF">2019-07-29T07:43:00Z</dcterms:modified>
</cp:coreProperties>
</file>